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成果名称：黄河口演变与流路稳定综合治理研究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完成单位：黄河水利委员会黄河水利科学研究院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中国水利水电科学研究院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中国海洋大学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华东师范大学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黄河勘测规划设计研究院有限公司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5"/>
        <w:gridCol w:w="929"/>
        <w:gridCol w:w="2971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 xml:space="preserve">余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欣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河口流路稳定指标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张原锋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水沙通量配置技术与示范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吉祖稳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黄河口尾闾出汊触发机制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毕乃双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中国海洋大学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黄河口流路演变动力机制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陈沈良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华东师范大学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海岸演变过程与动力机制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王崇浩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多时空尺度混合模拟技术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陈雄波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黄河勘测规划设计研究院有限公司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入海流路方案与治理措施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窦身堂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入海流路方案论证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于守兵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行河流路和海岸演变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夏军强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武汉大学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预测流路出汊概率的方法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贺治国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浙江大学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河口泥沙运动扩散规律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师长兴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中国科学院地理科学与资源研究所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黄河三角洲演变的反馈机制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王春华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山东黄河河务局黄河河口管理局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河口流路运用方式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王万战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黄河口尾闾出汊孕育过程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凡姚申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近海泥沙输移扩散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马进荣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水利部交通运输部国家能源局南京水利科学研究院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河口三维数学模型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郭传胜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河口波浪潮流泥沙数学模型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  平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河口河道平滩流量计算方法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陈松伟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黄河勘测规划设计研究院有限公司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综合治理措施分析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王党伟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黄河口尾闾出汊阈值分析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朱建荣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华东师范大学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近海泥沙运动规律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 xml:space="preserve">钱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裕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黄河勘测规划设计研究院有限公司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流路运用方案评估模型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 xml:space="preserve">李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涛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小浪底水库排沙特征分析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魏剑宏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黄河勘测规划设计研究院有限公司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流路运用综合评价模型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蒋雪中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华东师范大学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黄河三角洲海岸演变特征分析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张俊华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小浪底水库调控指标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徐丛亮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黄河口水文水资源勘测局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河口海岸演变特征分析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申冠卿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清水沟流路水沙调配指标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 xml:space="preserve">王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明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黄河水利委员会黄河水利科学研究院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清水沟岸线预测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杜小康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中级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河口河道冲淤分析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张少华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中级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流路演变特征分析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王广州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中级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河口水沙特征变化规律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吴  彦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中级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近海波浪特征分析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戴玮琦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中级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</w:t>
            </w:r>
            <w:r>
              <w:rPr>
                <w:bCs/>
                <w:sz w:val="24"/>
              </w:rPr>
              <w:t>水利委员会</w:t>
            </w:r>
            <w:r>
              <w:rPr>
                <w:rFonts w:hint="eastAsia"/>
                <w:bCs/>
                <w:sz w:val="24"/>
              </w:rPr>
              <w:t>黄河水利科学研究院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潮滩地貌演变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UyYmI0MTEyYTllYzNjOTc0OWFlYjA0MTBkMmI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63968D5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61006AD"/>
    <w:rsid w:val="68E0719F"/>
    <w:rsid w:val="690949EA"/>
    <w:rsid w:val="6B252F15"/>
    <w:rsid w:val="6DA27C55"/>
    <w:rsid w:val="6E9D0DF5"/>
    <w:rsid w:val="72977BD8"/>
    <w:rsid w:val="72B602B0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297</Words>
  <Characters>312</Characters>
  <Lines>3</Lines>
  <Paragraphs>1</Paragraphs>
  <TotalTime>2</TotalTime>
  <ScaleCrop>false</ScaleCrop>
  <LinksUpToDate>false</LinksUpToDate>
  <CharactersWithSpaces>387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杨柳</cp:lastModifiedBy>
  <cp:lastPrinted>2021-01-28T06:42:00Z</cp:lastPrinted>
  <dcterms:modified xsi:type="dcterms:W3CDTF">2025-06-11T08:40:55Z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A72F50F68B6D41C7B923BB1BB9032101_12</vt:lpwstr>
  </property>
  <property fmtid="{D5CDD505-2E9C-101B-9397-08002B2CF9AE}" pid="4" name="KSOTemplateDocerSaveRecord">
    <vt:lpwstr>eyJoZGlkIjoiNjAxZjAxMjZjM2NlN2FkZTVjNDRlYTU1YWM5MjE0YTciLCJ1c2VySWQiOiIyNjIxMjg4MDIifQ==</vt:lpwstr>
  </property>
</Properties>
</file>